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sxaa6yf1glaw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ПРИНЦИПИ СПІВПРАЦІ З ПАРТНЕРАМИ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v6biy64s26zu" w:id="1"/>
      <w:bookmarkEnd w:id="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БО «БЛАГОДІЙНИЙ ФОНД «НАДІЯ – ДІТИ УКРАЇНИ» (Hope – Children of Ukraine)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Ми переконані, що масштабна допомога дітям можлива лише завдяки синергії зусиль. Фонд «Hope – Children of Ukraine» відкритий до партнерства з бізнесом, державними інституціями, міжнародними фондами та громадськими ініціативами, які поділяють наші цінності.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Нашу взаємодію ми будуємо на п’яти фундаментальних принципах: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sf3qgxnkeg71" w:id="2"/>
      <w:bookmarkEnd w:id="2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1. Спільність місії та цінностей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Ми вступаємо в партнерство лише з тими організаціями, чия діяльність не суперечить етичним нормам та головній меті нашого Фонду — захисту та розвитку дітей. Ми не співпрацюємо з організаціями, які пропагують насильство, дискримінацію або мають сумнівну ділову репутацію.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k3d93j3kqnc1" w:id="3"/>
      <w:bookmarkEnd w:id="3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2. Прозорість та взаємна підзвітність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Партнерство з нами базується на відкритому доступі до інформації.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Для партнерів:</w:t>
      </w:r>
      <w:r w:rsidDel="00000000" w:rsidR="00000000" w:rsidRPr="00000000">
        <w:rPr>
          <w:color w:val="1f1f1f"/>
          <w:rtl w:val="0"/>
        </w:rPr>
        <w:t xml:space="preserve"> ми надаємо детальні звіти про використання ресурсів та досягнуті результати.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Від партнерів:</w:t>
      </w:r>
      <w:r w:rsidDel="00000000" w:rsidR="00000000" w:rsidRPr="00000000">
        <w:rPr>
          <w:color w:val="1f1f1f"/>
          <w:rtl w:val="0"/>
        </w:rPr>
        <w:t xml:space="preserve"> ми очікуємо чесності щодо їхніх можливостей та очікувань від співпраці.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uqwupbmmd6t2" w:id="4"/>
      <w:bookmarkEnd w:id="4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3. Ефективність та результат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Ми орієнтовані на реальні зміни в життях наших бенефіціарів. Кожен спільний проєкт має мати чіткі KPI (показники ефективності). Ми цінуємо ресурси наших партнерів так само високо, як і власні, тому спрямовуємо їх туди, де вони принесуть максимальну користь.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5rhsmxd6zw5f" w:id="5"/>
      <w:bookmarkEnd w:id="5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4. Рівність та повага до бренду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Ми поважаємо інтелектуальну власність та репутацію наших партнерів. Всі комунікаційні заходи, використання логотипів та публічні заяви в межах партнерства погоджуються сторонами заздалегідь. Ми гарантуємо, що бренд партнера буде асоціюватися виключно з позитивними змінами та професійною допомогою.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e0099fjauut2" w:id="6"/>
      <w:bookmarkEnd w:id="6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5. Сталість та довгостроковість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Хоча ми вдячні за разову допомогу, нашим пріоритетом є побудова стратегічних альянсів. Ми прагнемо створювати системні проєкти, які продовжують діяти та приносити користь дітям навіть після завершення активної фази фінансування.</w:t>
      </w:r>
    </w:p>
    <w:p w:rsidR="00000000" w:rsidDel="00000000" w:rsidP="00000000" w:rsidRDefault="00000000" w:rsidRPr="00000000" w14:paraId="00000011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585qdjnyt6qv" w:id="7"/>
      <w:bookmarkEnd w:id="7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Формати нашої взаємодії: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Корпоративна соціальна відповідальність (КСВ):</w:t>
      </w:r>
      <w:r w:rsidDel="00000000" w:rsidR="00000000" w:rsidRPr="00000000">
        <w:rPr>
          <w:color w:val="1f1f1f"/>
          <w:rtl w:val="0"/>
        </w:rPr>
        <w:t xml:space="preserve"> системна підтримка конкретної програми Фонду.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Спільні маркетингові акції (Cause Related Marketing):</w:t>
      </w:r>
      <w:r w:rsidDel="00000000" w:rsidR="00000000" w:rsidRPr="00000000">
        <w:rPr>
          <w:color w:val="1f1f1f"/>
          <w:rtl w:val="0"/>
        </w:rPr>
        <w:t xml:space="preserve"> відрахування відсотка від продажу товарів чи послуг партнера на потреби Фонду.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Професійна підтримка (Pro bono):</w:t>
      </w:r>
      <w:r w:rsidDel="00000000" w:rsidR="00000000" w:rsidRPr="00000000">
        <w:rPr>
          <w:color w:val="1f1f1f"/>
          <w:rtl w:val="0"/>
        </w:rPr>
        <w:t xml:space="preserve"> надання партнерських послуг (юридичних, маркетингових, логістичних) на безоплатній основі.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Програмне партнерство:</w:t>
      </w:r>
      <w:r w:rsidDel="00000000" w:rsidR="00000000" w:rsidRPr="00000000">
        <w:rPr>
          <w:color w:val="1f1f1f"/>
          <w:rtl w:val="0"/>
        </w:rPr>
        <w:t xml:space="preserve"> спільна реалізація освітніх чи реабілітаційних заходів для дітей.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